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伊犁州特克斯县人民检察院整体支出绩效自评报告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部门单位名称（公章）：特克斯县人民检察院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填报时间：2022 年4月28日</w:t>
      </w:r>
    </w:p>
    <w:p>
      <w:pPr>
        <w:pStyle w:val="3"/>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bookmarkStart w:id="4" w:name="_Toc70450292"/>
      <w:r>
        <w:rPr>
          <w:rStyle w:val="16"/>
          <w:rFonts w:hint="eastAsia" w:ascii="仿宋_GB2312" w:hAnsi="楷体" w:eastAsia="仿宋_GB2312"/>
          <w:b w:val="0"/>
          <w:spacing w:val="-4"/>
          <w:sz w:val="28"/>
          <w:szCs w:val="28"/>
        </w:rPr>
        <w:t>1、对叛国案、分裂国家案以及严重破坏国家的政策、法律、政令统一实施的重大犯罪案件，行使检察权。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2、对于直接受理的国家工作人员利用职权实施的犯罪案件，进行侦查。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3、对于公安机关、国家安全机关等侦查机关侦查的案件进行审查，决定是否逮捕、起诉或者不起诉。并对侦查机关的侦查活动是否合法实行监督。</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4、对于刑事案件提起公诉，支持公诉；对于人民法院的刑事判决、裁定是否正确和审判活动是否合法实行监督。</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5、对于监狱、看守所等执行机关执行刑罚的活动是否合法实行监督。</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6、对于人民法院的民事审判活动实行法律监督，对人民法院已经发生效力的判决、裁定，发现违反法律、法规规定的，依法提出抗诉。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7、对于行政诉讼实行法律监督。对人民法院已经发生效力的判决、裁定发现违反法律、法规规定的，依法提出抗诉。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8、行使法律规定的其他检察监督权。</w:t>
      </w:r>
    </w:p>
    <w:p>
      <w:pPr>
        <w:spacing w:line="360" w:lineRule="auto"/>
        <w:rPr>
          <w:rStyle w:val="16"/>
          <w:rFonts w:ascii="仿宋" w:hAnsi="仿宋" w:eastAsia="仿宋"/>
          <w:b w:val="0"/>
          <w:bCs w:val="0"/>
          <w:sz w:val="28"/>
          <w:szCs w:val="28"/>
        </w:rPr>
      </w:pPr>
      <w:r>
        <w:rPr>
          <w:rStyle w:val="16"/>
          <w:rFonts w:hint="eastAsia" w:ascii="仿宋" w:hAnsi="仿宋" w:eastAsia="仿宋"/>
          <w:sz w:val="28"/>
          <w:szCs w:val="28"/>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特克斯县人民检察院无下属预算单位，下设  5 个处室，分别是：第一检察部、第二检察部、第三检察部、政治部、办公室。</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（2）2021年特克斯县人民检察院实有在职人员为29人，其中：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行政在职29人（上年31人），同比上年减少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2人；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实有退休人员23人（上年22人）,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rPr>
        <w:t>同比上年增加1人。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highlight w:val="none"/>
        </w:rPr>
      </w:pPr>
      <w:bookmarkStart w:id="6" w:name="_Toc70450294"/>
      <w:r>
        <w:rPr>
          <w:rStyle w:val="16"/>
          <w:rFonts w:hint="eastAsia" w:ascii="仿宋_GB2312" w:hAnsi="楷体" w:eastAsia="仿宋_GB2312"/>
          <w:b w:val="0"/>
          <w:spacing w:val="-4"/>
          <w:sz w:val="28"/>
          <w:szCs w:val="28"/>
          <w:highlight w:val="none"/>
        </w:rPr>
        <w:t>（1）、人员保障项目，计划投入594.34万元，要完成保障部门单位人员发放工资福利支出及对个人和家庭补助的目标。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（2）、运转保障项目，计划投入63.48万元，主要完成保障日常办公费、取暖费、三公经费、工会经费、福利费及其它商品和服务支出的目标。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(3)中央政法经费及装备费105万元，项目主要为:办案人员保障日常办公费、三公经费、及其它商品和服务支出的目标。</w:t>
      </w:r>
    </w:p>
    <w:p>
      <w:pPr>
        <w:spacing w:line="360" w:lineRule="auto"/>
        <w:ind w:firstLine="562" w:firstLineChars="200"/>
        <w:rPr>
          <w:rStyle w:val="16"/>
          <w:rFonts w:ascii="仿宋" w:hAnsi="仿宋" w:eastAsia="仿宋"/>
          <w:b w:val="0"/>
          <w:bCs w:val="0"/>
          <w:sz w:val="28"/>
          <w:szCs w:val="28"/>
        </w:rPr>
      </w:pPr>
      <w:r>
        <w:rPr>
          <w:rStyle w:val="16"/>
          <w:rFonts w:hint="eastAsia" w:ascii="仿宋" w:hAnsi="仿宋" w:eastAsia="仿宋"/>
          <w:sz w:val="28"/>
          <w:szCs w:val="28"/>
        </w:rPr>
        <w:t>（二）部门单位整体支出规模、</w:t>
      </w:r>
      <w:bookmarkStart w:id="7" w:name="_Hlk70339807"/>
      <w:r>
        <w:rPr>
          <w:rStyle w:val="16"/>
          <w:rFonts w:hint="eastAsia" w:ascii="仿宋" w:hAnsi="仿宋" w:eastAsia="仿宋"/>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2021年批复特克斯县人民检察院预算为762.82万元，其中：财政拨款为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762.82万元。年中追加资金329.37</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万元，调整率75.99%。对比上年817.14万元减少54.32万元，下降6.65%。</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2021年实际决算支出762.82万元，执行率100%，其中：</w:t>
      </w:r>
    </w:p>
    <w:p>
      <w:pPr>
        <w:numPr>
          <w:ilvl w:val="0"/>
          <w:numId w:val="1"/>
        </w:num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基本支出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657.82万元，占总支出的86.24％，主要用于单位机构正常运转、完成日常工作任务而发生的各项支出。其中：工资福利支出590.33万元，主要用于在职和离退休人员基本工资、津贴补贴等人员经费。商品和服务支出63.48万元，主要用于办公费、印刷费、水电费、办公设备购置等。对个人和家庭的补助4.01万元，主要用于主要用于保障部门单位人员发放工资福利支出及对个人和家庭补助；用于日常办公费、取暖费、三公经费、工会经费、福利费及其它商品和服务支出；退休人员冬碳费和遗属补助。资本性支出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）项目支出105万元，占总支出的13.76％。其中：中央政法转移支付资金项目安排105万元，主要用于完成我院办案业务和办案设备购置使用。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）本年度重点项目支出105万元，重点支出保障率100%。其中重点保障项目是办案业务和办案设备购置项目。</w:t>
      </w:r>
    </w:p>
    <w:p>
      <w:p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28"/>
          <w:szCs w:val="28"/>
        </w:rPr>
        <w:t>（4）本年度我单位全年政府采购预算27.76万元,实际用于政府采购金额</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27.76万元，采购执行率</w:t>
      </w:r>
      <w:r>
        <w:rPr>
          <w:rStyle w:val="16"/>
          <w:rFonts w:hint="eastAsia" w:ascii="仿宋_GB2312" w:hAnsi="宋体" w:eastAsia="仿宋_GB2312"/>
          <w:b w:val="0"/>
          <w:bCs w:val="0"/>
          <w:spacing w:val="-4"/>
          <w:sz w:val="28"/>
          <w:szCs w:val="28"/>
        </w:rPr>
        <w:t>100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bCs w:val="0"/>
          <w:spacing w:val="-4"/>
          <w:sz w:val="28"/>
          <w:szCs w:val="28"/>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本次整体支出绩效自评采用比较法，原因是：该整体绩效属于人员类支出，以实施情况与绩效目标、历史情况、不同部门和地区同类支出情况进行比较的</w:t>
      </w:r>
      <w:r>
        <w:rPr>
          <w:rFonts w:ascii="仿宋" w:hAnsi="仿宋" w:eastAsia="仿宋"/>
          <w:bCs/>
          <w:sz w:val="28"/>
          <w:szCs w:val="28"/>
        </w:rPr>
        <w:t>方法</w:t>
      </w:r>
      <w:r>
        <w:rPr>
          <w:rFonts w:hint="eastAsia" w:ascii="仿宋" w:hAnsi="仿宋" w:eastAsia="仿宋"/>
          <w:bCs/>
          <w:sz w:val="28"/>
          <w:szCs w:val="28"/>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pStyle w:val="12"/>
        <w:widowControl/>
        <w:spacing w:before="40" w:beforeAutospacing="0" w:after="0" w:afterAutospacing="0" w:line="520" w:lineRule="atLeast"/>
        <w:ind w:firstLine="52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资金运行维护决策正确，资金管理规范到位，政策执行有力，有效发挥了财政资金的使用效率。各项工作实施及资金使用情况均在绩效目标设定时限完成。在执行上严格遵守各项财经纪律，在项目资金的使用上也是严守法律底线、纪律底线、道德底线，我院基本经费中人员经费支出、公用支出严格执行政府的各项制度，保障全院工作正常运转，三公经费的使用严格控制在预算申报的范围内；在项目经费的使用上，在保证各项任务顺利完成的同时，严格落实厉行节约的原则。</w:t>
      </w:r>
      <w:r>
        <w:rPr>
          <w:rFonts w:hint="eastAsia" w:ascii="仿宋" w:hAnsi="仿宋" w:eastAsia="仿宋"/>
          <w:sz w:val="28"/>
          <w:szCs w:val="28"/>
        </w:rPr>
        <w:t>严格按照</w:t>
      </w:r>
      <w:r>
        <w:rPr>
          <w:rFonts w:hint="eastAsia" w:ascii="仿宋" w:hAnsi="仿宋" w:eastAsia="仿宋"/>
          <w:bCs/>
          <w:sz w:val="28"/>
          <w:szCs w:val="28"/>
        </w:rPr>
        <w:t>科学公正、统筹兼顾、激励约束、公开透明的</w:t>
      </w:r>
      <w:r>
        <w:rPr>
          <w:rFonts w:hint="eastAsia" w:ascii="仿宋" w:hAnsi="仿宋" w:eastAsia="仿宋"/>
          <w:sz w:val="28"/>
          <w:szCs w:val="28"/>
        </w:rPr>
        <w:t>绩效评价原则，采用比较法，坚持计划标准对本项目的立项、项绩效目标、资金投入、资金管理、组织实施、产出数量、产出质量、产出时效、产出成本、项目效益进行了综合评价。</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本次评价对象是特克斯县人民检察院所有财政资金支出活动。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基本支出657.82万元，其中：工资福利支出、商品和服务支出、对个人和家庭的补助支出。</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项目支出105万元：中央政法转移支付资金。</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600" w:lineRule="exact"/>
        <w:ind w:firstLine="640"/>
        <w:rPr>
          <w:rFonts w:ascii="仿宋" w:hAnsi="仿宋" w:eastAsia="仿宋"/>
          <w:bCs/>
          <w:sz w:val="28"/>
          <w:szCs w:val="28"/>
        </w:rPr>
      </w:pPr>
      <w:r>
        <w:rPr>
          <w:rFonts w:hint="eastAsia" w:ascii="仿宋_GB2312" w:eastAsia="仿宋_GB2312"/>
          <w:sz w:val="28"/>
          <w:szCs w:val="36"/>
        </w:rPr>
        <w:t>我</w:t>
      </w:r>
      <w:r>
        <w:rPr>
          <w:rStyle w:val="16"/>
          <w:rFonts w:hint="eastAsia" w:ascii="仿宋_GB2312" w:hAnsi="楷体" w:eastAsia="仿宋_GB2312"/>
          <w:b w:val="0"/>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Style w:val="16"/>
          <w:rFonts w:hint="eastAsia" w:ascii="仿宋" w:hAnsi="仿宋" w:eastAsia="仿宋"/>
          <w:b w:val="0"/>
          <w:spacing w:val="-4"/>
          <w:sz w:val="28"/>
          <w:szCs w:val="28"/>
        </w:rPr>
        <w:t>特克斯县财政局</w:t>
      </w:r>
      <w:r>
        <w:rPr>
          <w:rFonts w:hint="eastAsia" w:ascii="仿宋_GB2312" w:eastAsia="仿宋_GB2312"/>
          <w:sz w:val="28"/>
          <w:szCs w:val="36"/>
        </w:rPr>
        <w:t>要求，部门</w:t>
      </w:r>
      <w:r>
        <w:rPr>
          <w:rFonts w:hint="eastAsia" w:ascii="仿宋" w:hAnsi="仿宋" w:eastAsia="仿宋"/>
          <w:sz w:val="28"/>
          <w:szCs w:val="28"/>
        </w:rPr>
        <w:t>预算及绩效目标</w:t>
      </w:r>
      <w:r>
        <w:rPr>
          <w:rFonts w:hint="eastAsia" w:ascii="仿宋" w:hAnsi="仿宋" w:eastAsia="仿宋"/>
          <w:bCs/>
          <w:sz w:val="28"/>
          <w:szCs w:val="28"/>
        </w:rPr>
        <w:t>未依法依规公开网站上，原因是该项目内容涉及维稳力量，属于涉密信息。</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特克斯县检察院</w:t>
      </w:r>
      <w:r>
        <w:rPr>
          <w:rFonts w:hint="eastAsia" w:ascii="仿宋_GB2312" w:eastAsia="仿宋_GB2312"/>
          <w:sz w:val="28"/>
          <w:szCs w:val="36"/>
        </w:rPr>
        <w:t>按照财政要求基本支出分月度申报资金使用计划，由财政部门按照进度每月按期拨付，人员支出按照工资计划发放工资；依照特克斯县检察</w:t>
      </w:r>
      <w:r>
        <w:rPr>
          <w:rStyle w:val="16"/>
          <w:rFonts w:hint="eastAsia" w:ascii="仿宋_GB2312" w:hAnsi="楷体" w:eastAsia="仿宋_GB2312"/>
          <w:b w:val="0"/>
          <w:spacing w:val="-4"/>
          <w:sz w:val="28"/>
          <w:szCs w:val="28"/>
        </w:rPr>
        <w:t>院《特克斯县检察院单位财务管理制度》相关规定和特克斯县检察院《资金管理办法》规定流程，资金支出按照我内控体系中设定的流程申报审批进行；项目支出属于政府采购的，按照特克斯县检察院《特克斯县检察院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2021年基本支出预算安排657.82万元，实际到位657.82</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657.82万元，占总支出的86.24％，其中：工资福利支出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590.33万元、商品和服务支出63.48</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4.01万元、主要用于主要用于保障部门单位人员发放工资福利支出及对个人和家庭补助；用于日常办公费、取暖费、三公经费、工会经费、福利费及其它商品和服务支出；退休人员冬碳费和遗属补助。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2021年基本支出比上年770.61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万元,减少112.79万元，下降</w:t>
      </w:r>
      <w:r>
        <w:rPr>
          <w:rStyle w:val="16"/>
          <w:rFonts w:ascii="仿宋_GB2312" w:hAnsi="楷体" w:eastAsia="仿宋_GB2312"/>
          <w:b w:val="0"/>
          <w:spacing w:val="-4"/>
          <w:sz w:val="28"/>
          <w:szCs w:val="28"/>
        </w:rPr>
        <w:t xml:space="preserve"> </w:t>
      </w:r>
      <w:r>
        <w:rPr>
          <w:rStyle w:val="16"/>
          <w:rFonts w:hint="eastAsia" w:ascii="仿宋_GB2312" w:hAnsi="宋体" w:eastAsia="仿宋_GB2312"/>
          <w:b w:val="0"/>
          <w:bCs w:val="0"/>
          <w:spacing w:val="-4"/>
          <w:sz w:val="28"/>
          <w:szCs w:val="28"/>
        </w:rPr>
        <w:t>14.64</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，支出减少的主要原因是</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机关人员调出及</w:t>
      </w:r>
      <w:r>
        <w:rPr>
          <w:rFonts w:hint="eastAsia" w:ascii="仿宋_GB2312" w:hAnsi="仿宋_GB2312" w:eastAsia="仿宋_GB2312" w:cs="仿宋_GB2312"/>
          <w:sz w:val="28"/>
          <w:szCs w:val="28"/>
        </w:rPr>
        <w:t>厉行节约，严格控制成本</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年一般公共预算“三公”经费数为3.12万元，其中：因公出国（境）费 0 万元，公务用车购置 0 万元，公务用车运行费 3.12 万元，公务接待费 0万元。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年一般公共预算“三公”经费比上年减少5.61  万元，其中：因公出国（境）费增加 0 万元，主要原因是未安排预算 ；公务用车购置费为0，未安排预算。公务用车运行费减少5.61万元，主要原因是</w:t>
      </w:r>
      <w:r>
        <w:rPr>
          <w:rFonts w:hint="eastAsia" w:ascii="仿宋_GB2312" w:hAnsi="仿宋_GB2312" w:eastAsia="仿宋_GB2312" w:cs="仿宋_GB2312"/>
          <w:sz w:val="28"/>
          <w:szCs w:val="28"/>
        </w:rPr>
        <w:t>厉行节约，严格控制成本</w:t>
      </w:r>
      <w:r>
        <w:rPr>
          <w:rStyle w:val="16"/>
          <w:rFonts w:hint="eastAsia" w:ascii="仿宋_GB2312" w:hAnsi="楷体" w:eastAsia="仿宋_GB2312"/>
          <w:b w:val="0"/>
          <w:spacing w:val="-4"/>
          <w:sz w:val="28"/>
          <w:szCs w:val="28"/>
        </w:rPr>
        <w:t>；公务接待费增加0万元，主要原因是未安排预算。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年预算安排专项资金105万元，实际到位105万元,</w:t>
      </w:r>
      <w:r>
        <w:rPr>
          <w:rFonts w:hint="eastAsia"/>
        </w:rPr>
        <w:t xml:space="preserve"> </w:t>
      </w:r>
      <w:r>
        <w:rPr>
          <w:rStyle w:val="16"/>
          <w:rFonts w:hint="eastAsia" w:ascii="仿宋_GB2312" w:hAnsi="楷体" w:eastAsia="仿宋_GB2312"/>
          <w:b w:val="0"/>
          <w:spacing w:val="-4"/>
          <w:sz w:val="28"/>
          <w:szCs w:val="28"/>
        </w:rPr>
        <w:t>到位率100％,其中:中央转移支付项目资金105万元，自治区资金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0万元，本级安排 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2021年专项资金支出105</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万元，占总支出的13.76%，其中2021年专项项目支出比上年46.53万元增加58.47万元，上升125.66%。支出上升的主要原因是办案设备更新。</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检察院办案设备政府采购管理办法》专项资金管理办法，资金使用审批流程均按规定办理。涉及“三重一大”内容，严格按照规定提请院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）建立中央政法转移支付资金办案业务费，装备款专项资金专帐，做到有据可依，有据可查。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（3）制订中央政法转移支付资金办案业务费，装备款专项资金项目实施方案，确保项目顺利进行。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（4）按照财政局要求认真组织中央政法转移支付资金办案业务费，装备款专项资金项目验收。</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专项资金涉及政府采购项目的，按照院《特克斯县检察院办案设备政府采购管理办法》组织人员制定采购计划，按照财政局采购部门批复，进行政府采购。</w:t>
      </w:r>
    </w:p>
    <w:p>
      <w:pPr>
        <w:pStyle w:val="3"/>
        <w:spacing w:line="360" w:lineRule="auto"/>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pStyle w:val="5"/>
        <w:numPr>
          <w:ilvl w:val="0"/>
          <w:numId w:val="2"/>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 w:hAnsi="仿宋" w:eastAsia="仿宋"/>
          <w:b w:val="0"/>
          <w:spacing w:val="-4"/>
          <w:sz w:val="28"/>
          <w:szCs w:val="28"/>
        </w:rPr>
        <w:t>年初特克斯县检察院下发，</w:t>
      </w:r>
      <w:r>
        <w:rPr>
          <w:rFonts w:hint="eastAsia" w:ascii="仿宋" w:hAnsi="仿宋" w:eastAsia="仿宋"/>
          <w:sz w:val="28"/>
          <w:szCs w:val="28"/>
        </w:rPr>
        <w:t>强化法律监督、维护公平正义。深入践行“让检察机关成为良好经济发展环境重要组成部分”引导和支持地方政法部门开展业务工作，帮助提高地方基层政法机关的办案和装备经费保障水平</w:t>
      </w:r>
      <w:r>
        <w:rPr>
          <w:rStyle w:val="16"/>
          <w:rFonts w:hint="eastAsia" w:ascii="仿宋" w:hAnsi="仿宋" w:eastAsia="仿宋"/>
          <w:b w:val="0"/>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 w:hAnsi="仿宋" w:eastAsia="仿宋"/>
          <w:b w:val="0"/>
          <w:spacing w:val="-4"/>
          <w:sz w:val="28"/>
          <w:szCs w:val="28"/>
        </w:rPr>
        <w:t>1</w:t>
      </w:r>
      <w:r>
        <w:rPr>
          <w:rStyle w:val="16"/>
          <w:rFonts w:hint="eastAsia" w:ascii="仿宋" w:hAnsi="仿宋" w:eastAsia="仿宋"/>
          <w:b w:val="0"/>
          <w:spacing w:val="-4"/>
          <w:sz w:val="28"/>
          <w:szCs w:val="28"/>
        </w:rPr>
        <w:t>年专项资金使用情况和专项项目实施规模，根据各专项实际存档资料</w:t>
      </w:r>
      <w:r>
        <w:rPr>
          <w:rStyle w:val="16"/>
          <w:rFonts w:hint="eastAsia" w:ascii="仿宋_GB2312" w:hAnsi="楷体" w:eastAsia="仿宋_GB2312"/>
          <w:spacing w:val="-4"/>
          <w:sz w:val="28"/>
          <w:szCs w:val="28"/>
        </w:rPr>
        <w:t>，</w:t>
      </w:r>
      <w:r>
        <w:rPr>
          <w:rStyle w:val="16"/>
          <w:rFonts w:hint="eastAsia" w:ascii="仿宋_GB2312" w:hAnsi="楷体" w:eastAsia="仿宋_GB2312"/>
          <w:b w:val="0"/>
          <w:spacing w:val="-4"/>
          <w:sz w:val="28"/>
          <w:szCs w:val="28"/>
        </w:rPr>
        <w:t>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spacing w:val="-4"/>
          <w:sz w:val="28"/>
          <w:szCs w:val="28"/>
        </w:rPr>
        <w:t>2、组织实施</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spacing w:val="-4"/>
          <w:sz w:val="28"/>
          <w:szCs w:val="28"/>
        </w:rPr>
        <w:t>特克斯县检察院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ascii="宋体" w:hAnsi="宋体" w:eastAsia="宋体"/>
          <w:b w:val="0"/>
          <w:color w:val="FF0000"/>
          <w:spacing w:val="-4"/>
          <w:sz w:val="28"/>
          <w:szCs w:val="28"/>
        </w:rPr>
      </w:pPr>
      <w:r>
        <w:rPr>
          <w:rStyle w:val="16"/>
          <w:rFonts w:hint="eastAsia" w:ascii="仿宋_GB2312" w:hAnsi="楷体" w:eastAsia="仿宋_GB2312"/>
          <w:b w:val="0"/>
          <w:spacing w:val="-4"/>
          <w:sz w:val="28"/>
          <w:szCs w:val="28"/>
        </w:rPr>
        <w:t>截止12月31日，该专项均按照时间计划保质、保量完成。</w:t>
      </w:r>
    </w:p>
    <w:p>
      <w:pPr>
        <w:pStyle w:val="5"/>
        <w:numPr>
          <w:ilvl w:val="0"/>
          <w:numId w:val="2"/>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年涉及专项资金105万元，实际到位 105</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万元，资金到位率100%。截止到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月31日执行105万元，执行率100%。其中：20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年结转专项资金0万元，实际执行0万元，执行率为0%；202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年新增专项资金105万元，实际执行105万元，执行率为100%。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人民检察院严格执行特人组办【2018】17号《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特克斯县检察院</w:t>
      </w:r>
      <w:r>
        <w:rPr>
          <w:rStyle w:val="16"/>
          <w:rFonts w:hint="eastAsia" w:asciiTheme="minorEastAsia" w:hAnsiTheme="minorEastAsia"/>
          <w:b w:val="0"/>
          <w:spacing w:val="-4"/>
          <w:sz w:val="28"/>
          <w:szCs w:val="28"/>
        </w:rPr>
        <w:t>，</w:t>
      </w:r>
      <w:r>
        <w:rPr>
          <w:rStyle w:val="16"/>
          <w:rFonts w:hint="eastAsia" w:ascii="仿宋_GB2312" w:hAnsi="楷体" w:eastAsia="仿宋_GB2312"/>
          <w:b w:val="0"/>
          <w:spacing w:val="-4"/>
          <w:sz w:val="28"/>
          <w:szCs w:val="28"/>
        </w:rPr>
        <w:t>根据202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1个项目的绩效目标及工作内容，将其细化分工至本单位各科室，加强组织领导，明确分工，各司其职，抓好工作目标任务的落实完成，同时年中要求负责人按照年初预算对本科室绩效工作进行自查自评，并报上半年工作情况总结，</w:t>
      </w:r>
      <w:r>
        <w:rPr>
          <w:rStyle w:val="16"/>
          <w:rFonts w:ascii="仿宋_GB2312" w:hAnsi="楷体" w:eastAsia="仿宋_GB2312"/>
          <w:b w:val="0"/>
          <w:spacing w:val="-4"/>
          <w:sz w:val="28"/>
          <w:szCs w:val="28"/>
        </w:rPr>
        <w:t>5</w:t>
      </w:r>
      <w:r>
        <w:rPr>
          <w:rStyle w:val="16"/>
          <w:rFonts w:hint="eastAsia" w:ascii="仿宋_GB2312" w:hAnsi="楷体" w:eastAsia="仿宋_GB2312"/>
          <w:b w:val="0"/>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特克斯县检察院，实施的1个项目，由相关业务科室指派专人进行全过程跟踪管理，处科室负责人统筹推进项目实施，部门领导不定期对项目进度进行调度，并对项目质量进行控制。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特克斯县检察院从项目实施方案、项目预算、项目建设进度、项目成本、项目验收等环节，全过程对项目进行监管，并向本单位主要领导报告，以推进项目建设和提高项目质量，以发挥资金使用效益。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检察院，所涉及专项项目均已于专项资金下达后按照资金文件及绩效管理要求设置《项目绩效目标表》。1个专项项目预算总额为105万元，在项目实施过程中，业务人员加强项目管理，合理控制项目成本，截止项目结束，1个项目总成本为105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特克斯县检察院，所涉及专项项目使用资金比专项项目总预算减少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0万元，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为0%。</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2021年特克斯县检察院共涉及专项项目1个，截止到2021年底，通过专项项目实施过程中的有效监督，我单位按预期完成了1个专项的各项专项任务项目总体完成率为100%。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asciiTheme="minorEastAsia" w:hAnsiTheme="minorEastAsia"/>
          <w:bCs w:val="0"/>
          <w:color w:val="FF0000"/>
          <w:spacing w:val="-4"/>
          <w:sz w:val="28"/>
          <w:szCs w:val="28"/>
        </w:rPr>
      </w:pPr>
      <w:bookmarkStart w:id="23" w:name="_Hlk96100380"/>
      <w:r>
        <w:rPr>
          <w:rStyle w:val="16"/>
          <w:rFonts w:hint="eastAsia" w:ascii="仿宋_GB2312" w:hAnsi="楷体" w:eastAsia="仿宋_GB2312"/>
          <w:b w:val="0"/>
          <w:spacing w:val="-4"/>
          <w:sz w:val="28"/>
          <w:szCs w:val="28"/>
        </w:rPr>
        <w:t>1个专项项目完成质量情况如下：</w:t>
      </w:r>
      <w:bookmarkEnd w:id="2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中央政法转移支付资金完成：确保各项业务工作有序推进，促进法律监督、公诉、侦查监督工作发展。依法受理、审、执案件。以服务为要务，以司法为民为宗旨，以“努力让人民群众在每一个司法案件中感受到公平正义”。更新监所监察室和人民检察院办案和技术装备。</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1个专项项目预期目标完成程度、实施对经济和社会的影响如下：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1、中央政法转移支付资金</w:t>
      </w:r>
      <w:r>
        <w:rPr>
          <w:rStyle w:val="16"/>
          <w:rFonts w:hint="eastAsia" w:ascii="仿宋_GB2312" w:hAnsi="楷体" w:eastAsia="仿宋_GB2312"/>
          <w:b w:val="0"/>
          <w:bCs w:val="0"/>
          <w:spacing w:val="-4"/>
          <w:sz w:val="28"/>
          <w:szCs w:val="28"/>
        </w:rPr>
        <w:t>有效遏制非法集资、诈骗等活动促进法律监督、公诉、侦查监督工作发展。</w:t>
      </w:r>
    </w:p>
    <w:p>
      <w:pPr>
        <w:pStyle w:val="3"/>
        <w:spacing w:line="360" w:lineRule="auto"/>
        <w:rPr>
          <w:rFonts w:ascii="仿宋" w:hAnsi="仿宋" w:eastAsia="仿宋"/>
          <w:sz w:val="36"/>
          <w:szCs w:val="36"/>
        </w:rPr>
      </w:pPr>
      <w:bookmarkStart w:id="24" w:name="_Toc70450310"/>
      <w:r>
        <w:rPr>
          <w:rFonts w:hint="eastAsia" w:ascii="仿宋" w:hAnsi="仿宋" w:eastAsia="仿宋"/>
          <w:sz w:val="36"/>
          <w:szCs w:val="36"/>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2021年我</w:t>
      </w:r>
      <w:r>
        <w:rPr>
          <w:rStyle w:val="16"/>
          <w:rFonts w:hint="eastAsia" w:ascii="仿宋_GB2312" w:hAnsi="楷体" w:eastAsia="仿宋_GB2312"/>
          <w:b w:val="0"/>
          <w:spacing w:val="-4"/>
          <w:sz w:val="28"/>
          <w:szCs w:val="28"/>
        </w:rPr>
        <w:t>单位</w:t>
      </w:r>
      <w:r>
        <w:rPr>
          <w:rStyle w:val="16"/>
          <w:rFonts w:hint="eastAsia" w:ascii="仿宋_GB2312" w:hAnsi="宋体" w:eastAsia="仿宋_GB2312"/>
          <w:b w:val="0"/>
          <w:bCs w:val="0"/>
          <w:spacing w:val="-4"/>
          <w:sz w:val="28"/>
          <w:szCs w:val="28"/>
        </w:rPr>
        <w:t>资产总额922.02</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万元，其中流动资产0万元，固定资产净值463.76万元（其中：土地、房屋及构筑物</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432.99万元，占固定资产净值的93.36%；通用设备</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25.05万元，占固定资产净值的0.054%；专用设备</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0万元，占固定资产净值的0%；其他）。</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本年度流动资产0万元，比上年增加0万元，原因是：无。</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922.02万元，比上年增加573.22</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万元，原因是：办公大楼转固定资产。</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实际在用固定资产922.02万元，固定资产利用率100%。</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rPr>
      </w:pPr>
      <w:bookmarkStart w:id="27" w:name="_Toc70450313"/>
      <w:r>
        <w:rPr>
          <w:rFonts w:hint="eastAsia" w:ascii="仿宋" w:hAnsi="仿宋" w:eastAsia="仿宋"/>
          <w:sz w:val="36"/>
          <w:szCs w:val="36"/>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2021年度我单位年初预算安排</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433.44万元，年中调整329.37万元，截止12月底支出762.82万元，执行率100%。</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2021年，在县财政的大力支持和县委、县政府的正确领导下，我</w:t>
      </w:r>
      <w:r>
        <w:rPr>
          <w:rStyle w:val="16"/>
          <w:rFonts w:hint="eastAsia" w:ascii="仿宋_GB2312" w:hAnsi="楷体" w:eastAsia="仿宋_GB2312"/>
          <w:b w:val="0"/>
          <w:spacing w:val="-4"/>
          <w:sz w:val="28"/>
          <w:szCs w:val="28"/>
        </w:rPr>
        <w:t>单位</w:t>
      </w:r>
      <w:r>
        <w:rPr>
          <w:rStyle w:val="16"/>
          <w:rFonts w:hint="eastAsia" w:ascii="仿宋_GB2312" w:hAnsi="宋体" w:eastAsia="仿宋_GB2312"/>
          <w:b w:val="0"/>
          <w:bCs w:val="0"/>
          <w:spacing w:val="-4"/>
          <w:sz w:val="28"/>
          <w:szCs w:val="28"/>
        </w:rPr>
        <w:t>迎难而上、务实重干，积极推动各项检察业务工作取得了新的进展，为促进经济持续健康发展与社会和谐稳定提供了有力的经济支撑和保障。</w:t>
      </w:r>
    </w:p>
    <w:p>
      <w:pPr>
        <w:spacing w:line="360" w:lineRule="auto"/>
        <w:ind w:left="420" w:left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1、圆满完成保障在职人员、离退休人员的正常办公、生活秩序。                                                                                                                                                                                  2、确保各项业务工作有序推进，促进法律监督、公诉、侦查监督工作发展。</w:t>
      </w:r>
    </w:p>
    <w:p>
      <w:pPr>
        <w:spacing w:line="360" w:lineRule="auto"/>
        <w:ind w:firstLine="408" w:firstLineChars="15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3、依法受理、审、执案件。</w:t>
      </w:r>
    </w:p>
    <w:p>
      <w:pPr>
        <w:spacing w:line="360" w:lineRule="auto"/>
        <w:ind w:firstLine="408" w:firstLineChars="15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4、以服务为要务，以司法为民为宗旨，以“努力让人民群众在每一个司法案件中感受到公平正义”。</w:t>
      </w:r>
    </w:p>
    <w:p>
      <w:pPr>
        <w:spacing w:line="360" w:lineRule="auto"/>
        <w:ind w:firstLine="408" w:firstLineChars="15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5、更新监所监察室和人民检察院办案和技术装备。</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2021年部门支出的有效性主要体现在特克斯县检察院各项工作成效上，一是责任进一步夯实，二是办案能力进一步提升，三是办案环境进一步改善，四是工作水平进一步提高，五是工作效率进一步推进，七是受理案件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rPr>
        <w:t>特克斯县检察院部门单位整体绩效目标共设置一级指标3个，二级指标6个，三级指标13个，详细说明如下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指标1：保障在职人员人数，指标值：≥33人 ，实际完成值：33人，指标完成率100%；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：退休人员人数，指标值：≥22人，实际完成值：22人，指标完成率100%；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指标3：办理各类案件数量，指标值：≥485件，实际完成值：485件，指标完成率100%；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指标1：办理案件质量，指标值：≥98%，实际完成值：98%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：工资及公用经费保障率，指标值：≥98% ，实际完成值：98%，指标完成率100%；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指标1：资金发放及时性，指标值：≥98%，实际完成值：98%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：各项工作任务按时完成率，指标值：≥98% ，实际完成值：98%，指标完成率100%；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指标1：保障人员人均支出标准，指标值：≤385.44万，实际完成值：385.44万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：保障人员人均支出标准，指标值：≤48万 ，实际完成值：48万，指标完成率100%；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指标1：有效遏制非法集资、诈骗等活动，指标值：有效遏制 ，实际完成值：有效遏制，指标完成率100%；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：促进法律监督、公诉、侦查监督工作发展，指标值：有效促进 ，实际完成值：有效促进，指标完成率100%；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6</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指标1：本院干警满意度，指标值：≥95%，实际完成值：95%，指标完成率100%；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：相关企业满意度，指标值：≥95%，实际完成值：95% ，指标完成率100%。</w:t>
      </w:r>
    </w:p>
    <w:p>
      <w:pPr>
        <w:pStyle w:val="3"/>
        <w:spacing w:line="360" w:lineRule="auto"/>
        <w:rPr>
          <w:rFonts w:ascii="仿宋" w:hAnsi="仿宋" w:eastAsia="仿宋"/>
          <w:sz w:val="36"/>
          <w:szCs w:val="36"/>
        </w:rPr>
      </w:pPr>
      <w:bookmarkStart w:id="31" w:name="_Toc70450317"/>
      <w:r>
        <w:rPr>
          <w:rFonts w:hint="eastAsia" w:ascii="仿宋" w:hAnsi="仿宋" w:eastAsia="仿宋"/>
          <w:sz w:val="36"/>
          <w:szCs w:val="36"/>
        </w:rPr>
        <w:t>六、存在的主要问题</w:t>
      </w:r>
      <w:bookmarkEnd w:id="31"/>
    </w:p>
    <w:p>
      <w:pPr>
        <w:pStyle w:val="29"/>
        <w:spacing w:line="560" w:lineRule="exact"/>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1.项目细化管理工作不足。</w:t>
      </w:r>
      <w:r>
        <w:rPr>
          <w:rFonts w:ascii="仿宋_GB2312" w:hAnsi="仿宋_GB2312" w:eastAsia="仿宋_GB2312" w:cs="仿宋_GB2312"/>
          <w:sz w:val="28"/>
        </w:rPr>
        <w:t>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w:t>
      </w:r>
    </w:p>
    <w:p>
      <w:pPr>
        <w:pStyle w:val="29"/>
        <w:spacing w:line="560" w:lineRule="exact"/>
        <w:ind w:firstLine="560" w:firstLineChars="200"/>
        <w:rPr>
          <w:sz w:val="28"/>
        </w:rPr>
      </w:pPr>
      <w:r>
        <w:rPr>
          <w:rFonts w:hint="eastAsia" w:ascii="仿宋_GB2312" w:hAnsi="仿宋_GB2312" w:eastAsia="仿宋_GB2312" w:cs="仿宋_GB2312"/>
          <w:sz w:val="28"/>
        </w:rPr>
        <w:t>2.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
      <w:pPr>
        <w:pStyle w:val="3"/>
        <w:spacing w:line="360" w:lineRule="auto"/>
        <w:rPr>
          <w:rFonts w:ascii="仿宋" w:hAnsi="仿宋" w:eastAsia="仿宋"/>
          <w:sz w:val="36"/>
          <w:szCs w:val="36"/>
        </w:rPr>
      </w:pPr>
      <w:bookmarkStart w:id="32" w:name="_Toc70450318"/>
      <w:r>
        <w:rPr>
          <w:rFonts w:hint="eastAsia" w:ascii="仿宋" w:hAnsi="仿宋" w:eastAsia="仿宋"/>
          <w:sz w:val="36"/>
          <w:szCs w:val="36"/>
        </w:rPr>
        <w:t>七、改进措施和建议</w:t>
      </w:r>
      <w:bookmarkEnd w:id="32"/>
    </w:p>
    <w:p/>
    <w:p>
      <w:pPr>
        <w:spacing w:line="360" w:lineRule="auto"/>
      </w:pPr>
    </w:p>
    <w:p>
      <w:pPr>
        <w:pStyle w:val="4"/>
        <w:spacing w:line="360" w:lineRule="auto"/>
        <w:rPr>
          <w:rStyle w:val="16"/>
          <w:rFonts w:ascii="仿宋" w:hAnsi="仿宋" w:eastAsia="仿宋"/>
          <w:b/>
          <w:bCs/>
        </w:rPr>
      </w:pPr>
      <w:bookmarkStart w:id="33" w:name="_Toc70450319"/>
      <w:r>
        <w:rPr>
          <w:rStyle w:val="16"/>
          <w:rFonts w:hint="eastAsia" w:ascii="仿宋" w:hAnsi="仿宋" w:eastAsia="仿宋"/>
          <w:b/>
          <w:bCs w:val="0"/>
        </w:rPr>
        <w:t>（一）</w:t>
      </w:r>
      <w:r>
        <w:rPr>
          <w:rStyle w:val="16"/>
          <w:rFonts w:hint="eastAsia" w:ascii="仿宋" w:hAnsi="仿宋" w:eastAsia="仿宋"/>
          <w:b/>
          <w:bCs/>
        </w:rPr>
        <w:t>改进措施</w:t>
      </w:r>
      <w:bookmarkEnd w:id="33"/>
    </w:p>
    <w:p>
      <w:pPr>
        <w:pStyle w:val="12"/>
        <w:widowControl/>
        <w:spacing w:before="40" w:beforeAutospacing="0" w:after="0" w:afterAutospacing="0" w:line="520" w:lineRule="atLeast"/>
        <w:ind w:firstLine="700" w:firstLineChars="2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420" w:firstLineChars="1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420" w:firstLineChars="1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280" w:firstLineChars="1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420" w:firstLineChars="15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（六）按时间进度分解资金使用计划。专项资金的使用，要事前做计划，事中进行控制，事后总结提高。合理安排资金使用,充分体现资金投向的目标和效益。</w:t>
      </w:r>
    </w:p>
    <w:p>
      <w:pPr>
        <w:rPr>
          <w:sz w:val="28"/>
          <w:szCs w:val="28"/>
        </w:rPr>
      </w:pPr>
    </w:p>
    <w:p>
      <w:pPr>
        <w:spacing w:line="360" w:lineRule="auto"/>
        <w:rPr>
          <w:rFonts w:ascii="仿宋" w:hAnsi="仿宋" w:eastAsia="仿宋"/>
          <w:sz w:val="22"/>
          <w:szCs w:val="28"/>
        </w:rPr>
      </w:pPr>
    </w:p>
    <w:p>
      <w:pPr>
        <w:pStyle w:val="4"/>
        <w:spacing w:line="360" w:lineRule="auto"/>
        <w:rPr>
          <w:rStyle w:val="16"/>
          <w:rFonts w:ascii="仿宋" w:hAnsi="仿宋" w:eastAsia="仿宋"/>
          <w:b/>
          <w:bCs/>
          <w:highlight w:val="none"/>
        </w:rPr>
      </w:pPr>
      <w:bookmarkStart w:id="37" w:name="_GoBack"/>
      <w:bookmarkStart w:id="34" w:name="_Toc70450320"/>
      <w:r>
        <w:rPr>
          <w:rStyle w:val="16"/>
          <w:rFonts w:hint="eastAsia" w:ascii="仿宋" w:hAnsi="仿宋" w:eastAsia="仿宋"/>
          <w:b/>
          <w:bCs/>
          <w:highlight w:val="none"/>
        </w:rPr>
        <w:t>（二）建议</w:t>
      </w:r>
      <w:bookmarkEnd w:id="34"/>
    </w:p>
    <w:bookmarkEnd w:id="37"/>
    <w:p>
      <w:pPr>
        <w:ind w:firstLine="544" w:firstLineChars="200"/>
        <w:rPr>
          <w:rFonts w:ascii="仿宋_GB2312" w:hAnsi="宋体" w:eastAsia="仿宋_GB2312" w:cs="Times New Roman"/>
          <w:color w:val="000000" w:themeColor="text1"/>
          <w:spacing w:val="-4"/>
          <w:sz w:val="28"/>
          <w:szCs w:val="28"/>
        </w:rPr>
      </w:pPr>
      <w:r>
        <w:rPr>
          <w:rFonts w:hint="eastAsia" w:ascii="仿宋_GB2312" w:hAnsi="宋体" w:eastAsia="仿宋_GB2312" w:cs="Times New Roman"/>
          <w:color w:val="000000" w:themeColor="text1"/>
          <w:spacing w:val="-4"/>
          <w:sz w:val="28"/>
          <w:szCs w:val="28"/>
        </w:rPr>
        <w:t>财政部门加强新行政单位会计制度和新预算法学习培训、规范账务处理，加强新《预算法》、《行政单位会计制度》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360" w:lineRule="auto"/>
      </w:pP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0" w:type="auto"/>
        <w:tblInd w:w="93" w:type="dxa"/>
        <w:tblLayout w:type="autofit"/>
        <w:tblCellMar>
          <w:top w:w="0" w:type="dxa"/>
          <w:left w:w="108" w:type="dxa"/>
          <w:bottom w:w="0" w:type="dxa"/>
          <w:right w:w="108" w:type="dxa"/>
        </w:tblCellMar>
      </w:tblPr>
      <w:tblGrid>
        <w:gridCol w:w="456"/>
        <w:gridCol w:w="456"/>
        <w:gridCol w:w="222"/>
        <w:gridCol w:w="696"/>
        <w:gridCol w:w="936"/>
        <w:gridCol w:w="528"/>
        <w:gridCol w:w="408"/>
        <w:gridCol w:w="456"/>
        <w:gridCol w:w="2378"/>
        <w:gridCol w:w="1176"/>
        <w:gridCol w:w="717"/>
      </w:tblGrid>
      <w:tr>
        <w:tblPrEx>
          <w:tblCellMar>
            <w:top w:w="0" w:type="dxa"/>
            <w:left w:w="108" w:type="dxa"/>
            <w:bottom w:w="0" w:type="dxa"/>
            <w:right w:w="108" w:type="dxa"/>
          </w:tblCellMar>
        </w:tblPrEx>
        <w:trPr>
          <w:trHeight w:val="405" w:hRule="atLeast"/>
        </w:trPr>
        <w:tc>
          <w:tcPr>
            <w:tcW w:w="0" w:type="auto"/>
            <w:gridSpan w:val="11"/>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0" w:type="auto"/>
            <w:gridSpan w:val="11"/>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rPr>
              <w:t>2021</w:t>
            </w:r>
            <w:r>
              <w:rPr>
                <w:rFonts w:ascii="Times New Roman" w:hAnsi="Times New Roman" w:eastAsia="宋体" w:cs="Times New Roman"/>
                <w:kern w:val="0"/>
                <w:sz w:val="24"/>
              </w:rPr>
              <w:t xml:space="preserve"> </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45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37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0" w:type="auto"/>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0" w:type="auto"/>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特克斯县人民检察院　</w:t>
            </w:r>
          </w:p>
        </w:tc>
      </w:tr>
      <w:tr>
        <w:tblPrEx>
          <w:tblCellMar>
            <w:top w:w="0" w:type="dxa"/>
            <w:left w:w="108" w:type="dxa"/>
            <w:bottom w:w="0" w:type="dxa"/>
            <w:right w:w="108" w:type="dxa"/>
          </w:tblCellMar>
        </w:tblPrEx>
        <w:trPr>
          <w:trHeight w:val="285"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主要</w:t>
            </w:r>
            <w:r>
              <w:rPr>
                <w:rFonts w:hint="eastAsia" w:ascii="宋体" w:hAnsi="宋体" w:eastAsia="宋体" w:cs="宋体"/>
                <w:kern w:val="0"/>
                <w:sz w:val="24"/>
              </w:rPr>
              <w:br w:type="textWrapping"/>
            </w:r>
            <w:r>
              <w:rPr>
                <w:rFonts w:hint="eastAsia" w:ascii="宋体" w:hAnsi="宋体" w:eastAsia="宋体" w:cs="宋体"/>
                <w:kern w:val="0"/>
                <w:sz w:val="24"/>
              </w:rPr>
              <w:t>任务</w:t>
            </w: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任务名称</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主要内容</w:t>
            </w:r>
          </w:p>
        </w:tc>
        <w:tc>
          <w:tcPr>
            <w:tcW w:w="232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预算金额（万元）</w:t>
            </w:r>
          </w:p>
        </w:tc>
        <w:tc>
          <w:tcPr>
            <w:tcW w:w="427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0" w:type="auto"/>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总额</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财政拨款</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其他资金</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人员保障</w:t>
            </w: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用于保障部门单位人员发放工资福利支出及对个人和家庭补助</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385.44</w:t>
            </w:r>
          </w:p>
        </w:tc>
        <w:tc>
          <w:tcPr>
            <w:tcW w:w="0" w:type="auto"/>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385.44</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c>
          <w:tcPr>
            <w:tcW w:w="23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385.44</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385.44</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运转保障</w:t>
            </w: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用于日常办公费、取暖费、三公经费、工会经费、福利费及其它商品和服务支出　</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48</w:t>
            </w:r>
          </w:p>
        </w:tc>
        <w:tc>
          <w:tcPr>
            <w:tcW w:w="0" w:type="auto"/>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48</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0　</w:t>
            </w:r>
          </w:p>
        </w:tc>
        <w:tc>
          <w:tcPr>
            <w:tcW w:w="23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48　</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48</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434.44</w:t>
            </w:r>
          </w:p>
        </w:tc>
        <w:tc>
          <w:tcPr>
            <w:tcW w:w="0" w:type="auto"/>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434.44</w:t>
            </w:r>
          </w:p>
        </w:tc>
        <w:tc>
          <w:tcPr>
            <w:tcW w:w="45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0</w:t>
            </w:r>
          </w:p>
        </w:tc>
        <w:tc>
          <w:tcPr>
            <w:tcW w:w="23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434.44</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rPr>
            </w:pPr>
            <w:r>
              <w:rPr>
                <w:rFonts w:hint="eastAsia" w:ascii="宋体" w:hAnsi="宋体" w:eastAsia="宋体" w:cs="宋体"/>
                <w:kern w:val="0"/>
                <w:sz w:val="24"/>
              </w:rPr>
              <w:t>　434.44</w:t>
            </w:r>
          </w:p>
        </w:tc>
        <w:tc>
          <w:tcPr>
            <w:tcW w:w="0" w:type="auto"/>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0　</w:t>
            </w:r>
          </w:p>
        </w:tc>
      </w:tr>
      <w:tr>
        <w:tblPrEx>
          <w:tblCellMar>
            <w:top w:w="0" w:type="dxa"/>
            <w:left w:w="108" w:type="dxa"/>
            <w:bottom w:w="0" w:type="dxa"/>
            <w:right w:w="108" w:type="dxa"/>
          </w:tblCellMar>
        </w:tblPrEx>
        <w:trPr>
          <w:trHeight w:val="285"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0" w:type="auto"/>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0" w:type="auto"/>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2070"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0" w:type="auto"/>
            <w:gridSpan w:val="4"/>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目标1：保障在职人员、离退休人员的正常办公、生活秩序。                                                                                          目标2：保障离退休人员的正常生活秩序。                                                                                        目标3：确保各项业务工作有序推进，促进法律监督、公诉、侦查监督工作发展。</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目标4、依法受理、审、执案件。</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目标5、以服务为要务，以司法为民为宗旨，以“努力让人民群众在每一个司法案件中感受到公平正义”。</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目标6、更新监所监察室和人民检察院办案和技术装备。</w:t>
            </w:r>
          </w:p>
        </w:tc>
        <w:tc>
          <w:tcPr>
            <w:tcW w:w="0" w:type="auto"/>
            <w:gridSpan w:val="6"/>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18"/>
                <w:szCs w:val="18"/>
              </w:rPr>
            </w:pPr>
            <w:r>
              <w:rPr>
                <w:rFonts w:hint="eastAsia" w:ascii="宋体" w:hAnsi="宋体" w:eastAsia="宋体" w:cs="宋体"/>
                <w:kern w:val="0"/>
                <w:sz w:val="18"/>
                <w:szCs w:val="18"/>
              </w:rPr>
              <w:t>目标1：保障在职人员、离退休人员的正常办公、生活秩序。                                                                                          目标2：保障离退休人员的正常生活秩序。                                                                                        目标3：确保各项业务工作有序推进，促进法律监督、公诉、侦查监督工作发展。</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目标4、依法受理、审、执案件。</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目标5、以服务为要务，以司法为民为宗旨，以“努力让人民群众在每一个司法案件中感受到公平正义”。</w:t>
            </w:r>
          </w:p>
          <w:p>
            <w:pPr>
              <w:widowControl/>
              <w:jc w:val="left"/>
              <w:rPr>
                <w:rFonts w:ascii="宋体" w:hAnsi="宋体" w:eastAsia="宋体" w:cs="宋体"/>
                <w:kern w:val="0"/>
                <w:sz w:val="18"/>
                <w:szCs w:val="18"/>
              </w:rPr>
            </w:pPr>
            <w:r>
              <w:rPr>
                <w:rFonts w:hint="eastAsia" w:ascii="宋体" w:hAnsi="宋体" w:eastAsia="宋体" w:cs="宋体"/>
                <w:kern w:val="0"/>
                <w:sz w:val="18"/>
                <w:szCs w:val="18"/>
              </w:rPr>
              <w:t>目标6、更新监所监察室和人民检察院办案和技术装备。</w:t>
            </w:r>
          </w:p>
        </w:tc>
      </w:tr>
      <w:tr>
        <w:tblPrEx>
          <w:tblCellMar>
            <w:top w:w="0" w:type="dxa"/>
            <w:left w:w="108" w:type="dxa"/>
            <w:bottom w:w="0" w:type="dxa"/>
            <w:right w:w="108" w:type="dxa"/>
          </w:tblCellMar>
        </w:tblPrEx>
        <w:trPr>
          <w:trHeight w:val="885"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14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24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189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57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保障在职人员人数</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≥33人</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33人</w:t>
            </w:r>
          </w:p>
        </w:tc>
      </w:tr>
      <w:tr>
        <w:tblPrEx>
          <w:tblCellMar>
            <w:top w:w="0" w:type="dxa"/>
            <w:left w:w="108" w:type="dxa"/>
            <w:bottom w:w="0" w:type="dxa"/>
            <w:right w:w="108" w:type="dxa"/>
          </w:tblCellMar>
        </w:tblPrEx>
        <w:trPr>
          <w:trHeight w:val="67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退休人员人数</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≥22人</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22人</w:t>
            </w:r>
          </w:p>
        </w:tc>
      </w:tr>
      <w:tr>
        <w:tblPrEx>
          <w:tblCellMar>
            <w:top w:w="0" w:type="dxa"/>
            <w:left w:w="108" w:type="dxa"/>
            <w:bottom w:w="0" w:type="dxa"/>
            <w:right w:w="108" w:type="dxa"/>
          </w:tblCellMar>
        </w:tblPrEx>
        <w:trPr>
          <w:trHeight w:val="498"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办理各类案件数量</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≥485件</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485件</w:t>
            </w:r>
          </w:p>
        </w:tc>
      </w:tr>
      <w:tr>
        <w:tblPrEx>
          <w:tblCellMar>
            <w:top w:w="0" w:type="dxa"/>
            <w:left w:w="108" w:type="dxa"/>
            <w:bottom w:w="0" w:type="dxa"/>
            <w:right w:w="108" w:type="dxa"/>
          </w:tblCellMar>
        </w:tblPrEx>
        <w:trPr>
          <w:trHeight w:val="461"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办理案件质量</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≥98%</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98%</w:t>
            </w:r>
          </w:p>
        </w:tc>
      </w:tr>
      <w:tr>
        <w:tblPrEx>
          <w:tblCellMar>
            <w:top w:w="0" w:type="dxa"/>
            <w:left w:w="108" w:type="dxa"/>
            <w:bottom w:w="0" w:type="dxa"/>
            <w:right w:w="108" w:type="dxa"/>
          </w:tblCellMar>
        </w:tblPrEx>
        <w:trPr>
          <w:trHeight w:val="56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工资及公用经费保障率</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&gt;=98%</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98%</w:t>
            </w:r>
          </w:p>
        </w:tc>
      </w:tr>
      <w:tr>
        <w:tblPrEx>
          <w:tblCellMar>
            <w:top w:w="0" w:type="dxa"/>
            <w:left w:w="108" w:type="dxa"/>
            <w:bottom w:w="0" w:type="dxa"/>
            <w:right w:w="108" w:type="dxa"/>
          </w:tblCellMar>
        </w:tblPrEx>
        <w:trPr>
          <w:trHeight w:val="527"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资金发放及时性</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&gt;=98%</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98%</w:t>
            </w:r>
          </w:p>
        </w:tc>
      </w:tr>
      <w:tr>
        <w:tblPrEx>
          <w:tblCellMar>
            <w:top w:w="0" w:type="dxa"/>
            <w:left w:w="108" w:type="dxa"/>
            <w:bottom w:w="0" w:type="dxa"/>
            <w:right w:w="108" w:type="dxa"/>
          </w:tblCellMar>
        </w:tblPrEx>
        <w:trPr>
          <w:trHeight w:val="47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各项工作任务按时完成率</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≥98%</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98%</w:t>
            </w:r>
          </w:p>
        </w:tc>
      </w:tr>
      <w:tr>
        <w:tblPrEx>
          <w:tblCellMar>
            <w:top w:w="0" w:type="dxa"/>
            <w:left w:w="108" w:type="dxa"/>
            <w:bottom w:w="0" w:type="dxa"/>
            <w:right w:w="108" w:type="dxa"/>
          </w:tblCellMar>
        </w:tblPrEx>
        <w:trPr>
          <w:trHeight w:val="450"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保障人员人均支出标准</w:t>
            </w:r>
          </w:p>
        </w:tc>
        <w:tc>
          <w:tcPr>
            <w:tcW w:w="864" w:type="dxa"/>
            <w:gridSpan w:val="2"/>
            <w:tcBorders>
              <w:top w:val="nil"/>
              <w:left w:val="single" w:color="auto" w:sz="4" w:space="0"/>
              <w:bottom w:val="single" w:color="auto" w:sz="4" w:space="0"/>
              <w:right w:val="nil"/>
            </w:tcBorders>
            <w:shd w:val="clear" w:color="auto" w:fill="auto"/>
          </w:tcPr>
          <w:p/>
        </w:tc>
        <w:tc>
          <w:tcPr>
            <w:tcW w:w="2378" w:type="dxa"/>
            <w:tcBorders>
              <w:top w:val="nil"/>
              <w:left w:val="nil"/>
              <w:bottom w:val="single" w:color="auto" w:sz="4" w:space="0"/>
              <w:right w:val="single" w:color="auto" w:sz="4" w:space="0"/>
            </w:tcBorders>
            <w:shd w:val="clear" w:color="auto" w:fill="auto"/>
          </w:tcPr>
          <w:p>
            <w:pPr>
              <w:rPr>
                <w:sz w:val="20"/>
                <w:szCs w:val="20"/>
              </w:rPr>
            </w:pPr>
          </w:p>
          <w:p>
            <w:r>
              <w:rPr>
                <w:rFonts w:hint="eastAsia"/>
                <w:sz w:val="20"/>
                <w:szCs w:val="20"/>
              </w:rPr>
              <w:t>≤385.44万</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sz w:val="20"/>
                <w:szCs w:val="20"/>
              </w:rPr>
              <w:t>385.44万</w:t>
            </w:r>
            <w:r>
              <w:rPr>
                <w:rFonts w:hint="eastAsia" w:ascii="宋体" w:hAnsi="宋体" w:eastAsia="宋体" w:cs="宋体"/>
                <w:color w:val="000000"/>
                <w:kern w:val="0"/>
                <w:sz w:val="22"/>
                <w:szCs w:val="22"/>
              </w:rPr>
              <w:t>　</w:t>
            </w:r>
          </w:p>
        </w:tc>
      </w:tr>
      <w:tr>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保障人员人均支出标准</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≤48万</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48万</w:t>
            </w:r>
          </w:p>
        </w:tc>
      </w:tr>
      <w:tr>
        <w:tblPrEx>
          <w:tblCellMar>
            <w:top w:w="0" w:type="dxa"/>
            <w:left w:w="108" w:type="dxa"/>
            <w:bottom w:w="0" w:type="dxa"/>
            <w:right w:w="108" w:type="dxa"/>
          </w:tblCellMar>
        </w:tblPrEx>
        <w:trPr>
          <w:trHeight w:val="516"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有效遏制非法集资、诈骗等活动。</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有效遏制</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有效遏制</w:t>
            </w:r>
          </w:p>
        </w:tc>
      </w:tr>
      <w:tr>
        <w:tblPrEx>
          <w:tblCellMar>
            <w:top w:w="0" w:type="dxa"/>
            <w:left w:w="108" w:type="dxa"/>
            <w:bottom w:w="0" w:type="dxa"/>
            <w:right w:w="108" w:type="dxa"/>
          </w:tblCellMar>
        </w:tblPrEx>
        <w:trPr>
          <w:trHeight w:val="46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促进法律监督、公诉、侦查监督工作发展</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有效促进</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有效促进</w:t>
            </w:r>
          </w:p>
        </w:tc>
      </w:tr>
      <w:tr>
        <w:tblPrEx>
          <w:tblCellMar>
            <w:top w:w="0" w:type="dxa"/>
            <w:left w:w="108" w:type="dxa"/>
            <w:bottom w:w="0" w:type="dxa"/>
            <w:right w:w="108" w:type="dxa"/>
          </w:tblCellMar>
        </w:tblPrEx>
        <w:trPr>
          <w:trHeight w:val="724"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0" w:type="auto"/>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本院干警满意度</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≥95%</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95%</w:t>
            </w:r>
          </w:p>
        </w:tc>
      </w:tr>
      <w:tr>
        <w:tblPrEx>
          <w:tblCellMar>
            <w:top w:w="0" w:type="dxa"/>
            <w:left w:w="108" w:type="dxa"/>
            <w:bottom w:w="0" w:type="dxa"/>
            <w:right w:w="108" w:type="dxa"/>
          </w:tblCellMar>
        </w:tblPrEx>
        <w:trPr>
          <w:trHeight w:val="285"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0" w:type="auto"/>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464" w:type="dxa"/>
            <w:gridSpan w:val="2"/>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sz w:val="20"/>
                <w:szCs w:val="20"/>
              </w:rPr>
            </w:pPr>
            <w:r>
              <w:rPr>
                <w:rFonts w:hint="eastAsia"/>
                <w:sz w:val="20"/>
                <w:szCs w:val="20"/>
              </w:rPr>
              <w:t>相关企业满意度</w:t>
            </w:r>
          </w:p>
        </w:tc>
        <w:tc>
          <w:tcPr>
            <w:tcW w:w="3242"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sz w:val="20"/>
                <w:szCs w:val="20"/>
              </w:rPr>
            </w:pPr>
            <w:r>
              <w:rPr>
                <w:rFonts w:hint="eastAsia"/>
                <w:sz w:val="20"/>
                <w:szCs w:val="20"/>
              </w:rPr>
              <w:t>≥95%</w:t>
            </w:r>
          </w:p>
        </w:tc>
        <w:tc>
          <w:tcPr>
            <w:tcW w:w="1893" w:type="dxa"/>
            <w:gridSpan w:val="2"/>
            <w:tcBorders>
              <w:top w:val="single" w:color="auto" w:sz="4" w:space="0"/>
              <w:left w:val="nil"/>
              <w:bottom w:val="single" w:color="auto" w:sz="4" w:space="0"/>
              <w:right w:val="single" w:color="000000" w:sz="4" w:space="0"/>
            </w:tcBorders>
            <w:shd w:val="clear" w:color="auto" w:fill="auto"/>
            <w:noWrap/>
            <w:vAlign w:val="center"/>
          </w:tcPr>
          <w:p>
            <w:pPr>
              <w:jc w:val="center"/>
              <w:rPr>
                <w:rFonts w:ascii="宋体" w:hAnsi="宋体" w:eastAsia="宋体" w:cs="宋体"/>
                <w:sz w:val="20"/>
                <w:szCs w:val="20"/>
              </w:rPr>
            </w:pPr>
            <w:r>
              <w:rPr>
                <w:rFonts w:hint="eastAsia"/>
                <w:sz w:val="20"/>
                <w:szCs w:val="20"/>
              </w:rPr>
              <w:t>95%</w:t>
            </w:r>
          </w:p>
        </w:tc>
      </w:tr>
    </w:tbl>
    <w:p>
      <w:pPr>
        <w:rPr>
          <w:rFonts w:ascii="仿宋" w:hAnsi="仿宋" w:eastAsia="仿宋" w:cs="宋体"/>
          <w:color w:val="333333"/>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22 -</w:t>
        </w:r>
        <w:r>
          <w:rPr>
            <w:rFonts w:asciiTheme="minorEastAsia" w:hAnsiTheme="minorEastAsia"/>
            <w:sz w:val="28"/>
            <w:szCs w:val="28"/>
          </w:rP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E50DA"/>
    <w:multiLevelType w:val="singleLevel"/>
    <w:tmpl w:val="20BE50DA"/>
    <w:lvl w:ilvl="0" w:tentative="0">
      <w:start w:val="1"/>
      <w:numFmt w:val="decimal"/>
      <w:suff w:val="nothing"/>
      <w:lvlText w:val="（%1）"/>
      <w:lvlJc w:val="left"/>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1MDZlYmI5MDk0MTg0NGQ5YjU3MzZhZWMwZGE3NjIifQ=="/>
  </w:docVars>
  <w:rsids>
    <w:rsidRoot w:val="00633862"/>
    <w:rsid w:val="00004F8A"/>
    <w:rsid w:val="00025A44"/>
    <w:rsid w:val="000575E1"/>
    <w:rsid w:val="00072084"/>
    <w:rsid w:val="0009422A"/>
    <w:rsid w:val="000A286D"/>
    <w:rsid w:val="000B6B13"/>
    <w:rsid w:val="000D1DEE"/>
    <w:rsid w:val="000D3AFA"/>
    <w:rsid w:val="00105D60"/>
    <w:rsid w:val="001121F2"/>
    <w:rsid w:val="00112859"/>
    <w:rsid w:val="001173EB"/>
    <w:rsid w:val="00150C4C"/>
    <w:rsid w:val="00153F5C"/>
    <w:rsid w:val="001700FB"/>
    <w:rsid w:val="00191BA3"/>
    <w:rsid w:val="001A18DF"/>
    <w:rsid w:val="001A2299"/>
    <w:rsid w:val="001A3A0E"/>
    <w:rsid w:val="001A6631"/>
    <w:rsid w:val="001A6E68"/>
    <w:rsid w:val="001D4C7C"/>
    <w:rsid w:val="001F630E"/>
    <w:rsid w:val="002214BE"/>
    <w:rsid w:val="0022744B"/>
    <w:rsid w:val="00234372"/>
    <w:rsid w:val="00234B37"/>
    <w:rsid w:val="00246941"/>
    <w:rsid w:val="002764C7"/>
    <w:rsid w:val="002A4B94"/>
    <w:rsid w:val="002D075E"/>
    <w:rsid w:val="00303A08"/>
    <w:rsid w:val="00314266"/>
    <w:rsid w:val="003226C4"/>
    <w:rsid w:val="003477FB"/>
    <w:rsid w:val="00380F56"/>
    <w:rsid w:val="003C6210"/>
    <w:rsid w:val="003E3DEF"/>
    <w:rsid w:val="003E7C70"/>
    <w:rsid w:val="003F1612"/>
    <w:rsid w:val="003F6108"/>
    <w:rsid w:val="00404A4B"/>
    <w:rsid w:val="00410C27"/>
    <w:rsid w:val="0041125A"/>
    <w:rsid w:val="00412F5F"/>
    <w:rsid w:val="0049337C"/>
    <w:rsid w:val="004C4C4D"/>
    <w:rsid w:val="004C6FF3"/>
    <w:rsid w:val="004E33BF"/>
    <w:rsid w:val="004E4ECC"/>
    <w:rsid w:val="004E69F5"/>
    <w:rsid w:val="004E7AAC"/>
    <w:rsid w:val="005277D9"/>
    <w:rsid w:val="00531A31"/>
    <w:rsid w:val="00533C6C"/>
    <w:rsid w:val="00582EC7"/>
    <w:rsid w:val="00583022"/>
    <w:rsid w:val="00593943"/>
    <w:rsid w:val="005A08A8"/>
    <w:rsid w:val="005B1250"/>
    <w:rsid w:val="005B51E2"/>
    <w:rsid w:val="005C33CE"/>
    <w:rsid w:val="006225D7"/>
    <w:rsid w:val="00633862"/>
    <w:rsid w:val="006379B7"/>
    <w:rsid w:val="006413B6"/>
    <w:rsid w:val="006734AF"/>
    <w:rsid w:val="00683CC5"/>
    <w:rsid w:val="006910A7"/>
    <w:rsid w:val="00691310"/>
    <w:rsid w:val="006A7181"/>
    <w:rsid w:val="006B234E"/>
    <w:rsid w:val="006C5BED"/>
    <w:rsid w:val="006D3947"/>
    <w:rsid w:val="006F4E7F"/>
    <w:rsid w:val="00702D4A"/>
    <w:rsid w:val="007115C8"/>
    <w:rsid w:val="00713ADC"/>
    <w:rsid w:val="00725A0B"/>
    <w:rsid w:val="00725B9A"/>
    <w:rsid w:val="00754721"/>
    <w:rsid w:val="007713F8"/>
    <w:rsid w:val="007A7491"/>
    <w:rsid w:val="007A7874"/>
    <w:rsid w:val="007B03A9"/>
    <w:rsid w:val="007B4081"/>
    <w:rsid w:val="00800784"/>
    <w:rsid w:val="00800871"/>
    <w:rsid w:val="00817432"/>
    <w:rsid w:val="00852B25"/>
    <w:rsid w:val="008614D8"/>
    <w:rsid w:val="00862ABE"/>
    <w:rsid w:val="00875327"/>
    <w:rsid w:val="00886879"/>
    <w:rsid w:val="00890FC2"/>
    <w:rsid w:val="008E3F8A"/>
    <w:rsid w:val="00923468"/>
    <w:rsid w:val="00940F10"/>
    <w:rsid w:val="00944DD3"/>
    <w:rsid w:val="00952782"/>
    <w:rsid w:val="0095580D"/>
    <w:rsid w:val="0097614B"/>
    <w:rsid w:val="009809DF"/>
    <w:rsid w:val="00981E54"/>
    <w:rsid w:val="00992D45"/>
    <w:rsid w:val="009A1625"/>
    <w:rsid w:val="009E5FF8"/>
    <w:rsid w:val="009F06F4"/>
    <w:rsid w:val="00A05135"/>
    <w:rsid w:val="00A43D21"/>
    <w:rsid w:val="00A55238"/>
    <w:rsid w:val="00A958F8"/>
    <w:rsid w:val="00AA5126"/>
    <w:rsid w:val="00AC2FB9"/>
    <w:rsid w:val="00AC349B"/>
    <w:rsid w:val="00AC4471"/>
    <w:rsid w:val="00AD16CD"/>
    <w:rsid w:val="00AF42EB"/>
    <w:rsid w:val="00AF70EB"/>
    <w:rsid w:val="00B130FE"/>
    <w:rsid w:val="00B20307"/>
    <w:rsid w:val="00B26295"/>
    <w:rsid w:val="00B34A48"/>
    <w:rsid w:val="00B407C3"/>
    <w:rsid w:val="00B43875"/>
    <w:rsid w:val="00B666A1"/>
    <w:rsid w:val="00B900A3"/>
    <w:rsid w:val="00BA091A"/>
    <w:rsid w:val="00BA1454"/>
    <w:rsid w:val="00BA33C3"/>
    <w:rsid w:val="00BB1B9F"/>
    <w:rsid w:val="00BC12D3"/>
    <w:rsid w:val="00BF4765"/>
    <w:rsid w:val="00BF7923"/>
    <w:rsid w:val="00C42609"/>
    <w:rsid w:val="00C4673D"/>
    <w:rsid w:val="00C53F96"/>
    <w:rsid w:val="00C73B75"/>
    <w:rsid w:val="00C76454"/>
    <w:rsid w:val="00C81F75"/>
    <w:rsid w:val="00CA5BB3"/>
    <w:rsid w:val="00CB0EF2"/>
    <w:rsid w:val="00CB1C9D"/>
    <w:rsid w:val="00CC592A"/>
    <w:rsid w:val="00CC7606"/>
    <w:rsid w:val="00CD2F35"/>
    <w:rsid w:val="00CE16E7"/>
    <w:rsid w:val="00CE61DB"/>
    <w:rsid w:val="00D26F3D"/>
    <w:rsid w:val="00D278CF"/>
    <w:rsid w:val="00D77626"/>
    <w:rsid w:val="00D81EE2"/>
    <w:rsid w:val="00DA67B8"/>
    <w:rsid w:val="00DB1085"/>
    <w:rsid w:val="00DC0929"/>
    <w:rsid w:val="00DD223C"/>
    <w:rsid w:val="00DF47E2"/>
    <w:rsid w:val="00E213C7"/>
    <w:rsid w:val="00E41A31"/>
    <w:rsid w:val="00E7188B"/>
    <w:rsid w:val="00EA74DF"/>
    <w:rsid w:val="00EB5F95"/>
    <w:rsid w:val="00F006BD"/>
    <w:rsid w:val="00F1076D"/>
    <w:rsid w:val="00F17550"/>
    <w:rsid w:val="00F27120"/>
    <w:rsid w:val="00F341E0"/>
    <w:rsid w:val="00F36401"/>
    <w:rsid w:val="00F42445"/>
    <w:rsid w:val="00F44FCC"/>
    <w:rsid w:val="00F47500"/>
    <w:rsid w:val="00F538E5"/>
    <w:rsid w:val="00F74974"/>
    <w:rsid w:val="00F829DE"/>
    <w:rsid w:val="00F84215"/>
    <w:rsid w:val="00F91CBB"/>
    <w:rsid w:val="05A86AF8"/>
    <w:rsid w:val="077811F1"/>
    <w:rsid w:val="0E9A5E97"/>
    <w:rsid w:val="1BEA0656"/>
    <w:rsid w:val="1EB60E4D"/>
    <w:rsid w:val="2D054086"/>
    <w:rsid w:val="42052417"/>
    <w:rsid w:val="48671FB6"/>
    <w:rsid w:val="4C206632"/>
    <w:rsid w:val="5F153D40"/>
    <w:rsid w:val="63441CB5"/>
    <w:rsid w:val="639B0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toc 3"/>
    <w:basedOn w:val="1"/>
    <w:next w:val="1"/>
    <w:unhideWhenUsed/>
    <w:uiPriority w:val="39"/>
    <w:pPr>
      <w:ind w:left="840" w:leftChars="400"/>
    </w:pPr>
  </w:style>
  <w:style w:type="paragraph" w:styleId="7">
    <w:name w:val="footer"/>
    <w:basedOn w:val="1"/>
    <w:link w:val="19"/>
    <w:unhideWhenUsed/>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8"/>
    <w:qFormat/>
    <w:uiPriority w:val="99"/>
    <w:rPr>
      <w:sz w:val="18"/>
      <w:szCs w:val="18"/>
    </w:rPr>
  </w:style>
  <w:style w:type="character" w:customStyle="1" w:styleId="19">
    <w:name w:val="页脚 Char"/>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Char"/>
    <w:basedOn w:val="15"/>
    <w:link w:val="13"/>
    <w:qFormat/>
    <w:uiPriority w:val="10"/>
    <w:rPr>
      <w:rFonts w:asciiTheme="majorHAnsi" w:hAnsiTheme="majorHAnsi" w:eastAsiaTheme="majorEastAsia"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副标题 Char"/>
    <w:basedOn w:val="15"/>
    <w:link w:val="10"/>
    <w:qFormat/>
    <w:uiPriority w:val="11"/>
    <w:rPr>
      <w:b/>
      <w:bCs/>
      <w:kern w:val="28"/>
      <w:sz w:val="32"/>
      <w:szCs w:val="32"/>
    </w:rPr>
  </w:style>
  <w:style w:type="character" w:customStyle="1" w:styleId="24">
    <w:name w:val="标题 3 Char"/>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Char"/>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28">
    <w:name w:val="标题 4 Char"/>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AAB38-0B4A-47A3-9021-A6A38DC1580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8670</Words>
  <Characters>9225</Characters>
  <Lines>13</Lines>
  <Paragraphs>20</Paragraphs>
  <TotalTime>6</TotalTime>
  <ScaleCrop>false</ScaleCrop>
  <LinksUpToDate>false</LinksUpToDate>
  <CharactersWithSpaces>9858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2022-05-27T05:28:45Z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